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6C123" w14:textId="77777777" w:rsidR="00FE36A5" w:rsidRPr="00FE36A5" w:rsidRDefault="00FE36A5" w:rsidP="00FE3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FE36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 xml:space="preserve">DECRETO LEGISLATIVO </w:t>
      </w:r>
      <w:proofErr w:type="gramStart"/>
      <w:r w:rsidRPr="00FE36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1 giugno</w:t>
      </w:r>
      <w:proofErr w:type="gramEnd"/>
      <w:r w:rsidRPr="00FE36A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 xml:space="preserve"> 2020, n. 44 </w:t>
      </w:r>
    </w:p>
    <w:p w14:paraId="48CC3F9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Attuazione della direttiva (UE) 2017/2398 </w:t>
      </w:r>
      <w:proofErr w:type="gramStart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>del  Parlamento</w:t>
      </w:r>
      <w:proofErr w:type="gramEnd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europeo  e</w:t>
      </w:r>
    </w:p>
    <w:p w14:paraId="5EB0890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del Consiglio, </w:t>
      </w:r>
      <w:proofErr w:type="gramStart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>del  12</w:t>
      </w:r>
      <w:proofErr w:type="gramEnd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dicembre  2017,  che  modifica  la  direttiva</w:t>
      </w:r>
    </w:p>
    <w:p w14:paraId="3584BC9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2004/37/CE del Consiglio, </w:t>
      </w:r>
      <w:proofErr w:type="gramStart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>relativa  alla</w:t>
      </w:r>
      <w:proofErr w:type="gramEnd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protezione  dei  lavoratori</w:t>
      </w:r>
    </w:p>
    <w:p w14:paraId="40439C6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contro i rischi derivanti da un'esposizione ad </w:t>
      </w:r>
      <w:proofErr w:type="gramStart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>agenti  cancerogeni</w:t>
      </w:r>
      <w:proofErr w:type="gramEnd"/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o</w:t>
      </w:r>
    </w:p>
    <w:p w14:paraId="7CD5354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E36A5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mutageni durante il lavoro. (20G00062) </w:t>
      </w:r>
    </w:p>
    <w:p w14:paraId="1A69AE4D" w14:textId="77777777" w:rsidR="00FE36A5" w:rsidRPr="00FE36A5" w:rsidRDefault="00FE36A5" w:rsidP="00FE3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FE36A5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n.145 del 9-6-2020)</w:t>
      </w:r>
    </w:p>
    <w:p w14:paraId="63507ACA" w14:textId="77777777" w:rsidR="00FE36A5" w:rsidRPr="00FE36A5" w:rsidRDefault="00FE36A5" w:rsidP="00FE3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FE36A5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218387C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FE36A5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24-6-2020  </w:t>
      </w:r>
    </w:p>
    <w:p w14:paraId="4DFCA274" w14:textId="77777777" w:rsidR="00FE36A5" w:rsidRPr="00FE36A5" w:rsidRDefault="00FE36A5" w:rsidP="00FE36A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FE36A5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6FF108B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CE846C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5EEE76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14:paraId="792F2D7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1F0BF32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76 e 87 della Costituzione; </w:t>
      </w:r>
    </w:p>
    <w:p w14:paraId="2BE3B03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direttiva (UE) 2017/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2398  del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Parlamento  europeo  e  del</w:t>
      </w:r>
    </w:p>
    <w:p w14:paraId="58EBF9A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12 dicembre 2017, che modifica la direttiva 2004/37/CE</w:t>
      </w:r>
    </w:p>
    <w:p w14:paraId="6FD58D6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sulla  protezione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lavoratori  contro  i  rischi  derivanti   da</w:t>
      </w:r>
    </w:p>
    <w:p w14:paraId="6E9E8D6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un'esposizione ad agenti cancerogeni o mutageni durante il lavoro; </w:t>
      </w:r>
    </w:p>
    <w:p w14:paraId="53A43C6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Vista  la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direttiva  2004/37/CE  del  Parlamento  europeo  e   del</w:t>
      </w:r>
    </w:p>
    <w:p w14:paraId="5EAD2E7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Consiglio, del 29 aprile 2004, sulla protezione dei lavoratori contro</w:t>
      </w:r>
    </w:p>
    <w:p w14:paraId="34DCE4F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rischi derivanti da un'esposizione ad agenti cancerogeni o mutageni</w:t>
      </w:r>
    </w:p>
    <w:p w14:paraId="1948F87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durante il lavoro; </w:t>
      </w:r>
    </w:p>
    <w:p w14:paraId="1F70455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4 ottobre 2019, n. 117,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delega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Governo</w:t>
      </w:r>
    </w:p>
    <w:p w14:paraId="31220F1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il recepimento delle direttive europee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l'attuazione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altri</w:t>
      </w:r>
    </w:p>
    <w:p w14:paraId="02A9234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 dell'Unione europea - legge di delegazione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europea  2018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e  in</w:t>
      </w:r>
    </w:p>
    <w:p w14:paraId="2DBADFF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particolare l'articolo 1 e l'allegato A, punto 11; </w:t>
      </w:r>
    </w:p>
    <w:p w14:paraId="752ECEA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il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  legislativo  9  aprile  2008,  n.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81,  recante</w:t>
      </w:r>
      <w:proofErr w:type="gramEnd"/>
    </w:p>
    <w:p w14:paraId="1FBB28A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attuazione dell'articolo 1 della legge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agosto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2007,  n.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123,  in</w:t>
      </w:r>
      <w:proofErr w:type="gramEnd"/>
    </w:p>
    <w:p w14:paraId="6A12461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materia di tutela della salute e della sicurezza nei luoghi di lavoro</w:t>
      </w:r>
    </w:p>
    <w:p w14:paraId="5A178A2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e, in particolare il Titolo IX, Capo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II,  concernente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protezione</w:t>
      </w:r>
    </w:p>
    <w:p w14:paraId="541C54BC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dall'esposizione ad agenti cancerogeni e mutageni; </w:t>
      </w:r>
    </w:p>
    <w:p w14:paraId="5DEB843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Visto  l'articolo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  della  legge  24  aprile  2020,  n.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27,   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</w:p>
    <w:p w14:paraId="2F3C1C9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conversione in legge, con modificazioni, del decreto-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17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marzo</w:t>
      </w:r>
    </w:p>
    <w:p w14:paraId="30222BF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n. 18, e in particolare il comma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3,  il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quale  dispone  che  i</w:t>
      </w:r>
    </w:p>
    <w:p w14:paraId="29FE864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termini per l'adozione di decreti legislativi con scadenza tra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10</w:t>
      </w:r>
      <w:proofErr w:type="gramEnd"/>
    </w:p>
    <w:p w14:paraId="2471B42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febbraio 2020 e il 31 agosto 2020, che non siano scaduti alla data di</w:t>
      </w:r>
    </w:p>
    <w:p w14:paraId="3917E5CD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entrata in vigore della legge, sono prorogati di tre mesi, decorrenti</w:t>
      </w:r>
    </w:p>
    <w:p w14:paraId="64D7A97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dalla data di scadenza di ciascuno di essi; </w:t>
      </w:r>
    </w:p>
    <w:p w14:paraId="408CF25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Sentite le parti sociali nelle riunioni del 16 e 20 gennaio 2020; </w:t>
      </w:r>
    </w:p>
    <w:p w14:paraId="7A3A426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preliminare  deliberazione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Consiglio  dei  ministri,</w:t>
      </w:r>
    </w:p>
    <w:p w14:paraId="2812763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adottata nella riunione del 29 gennaio 2020; </w:t>
      </w:r>
    </w:p>
    <w:p w14:paraId="674DB4C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Acquisito il parere della Conferenza permanente per 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rapporti  tra</w:t>
      </w:r>
      <w:proofErr w:type="gramEnd"/>
    </w:p>
    <w:p w14:paraId="2B1D3B3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lo Stato, le Regioni e le Province autonome di Trento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Bolzano,</w:t>
      </w:r>
    </w:p>
    <w:p w14:paraId="1B758FA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riunione del 31 marzo 2020; </w:t>
      </w:r>
    </w:p>
    <w:p w14:paraId="081528B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Acquisiti i pareri delle competenti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Commissioni  della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Camera  dei</w:t>
      </w:r>
    </w:p>
    <w:p w14:paraId="2EC740D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deputati e del Senato della Repubblica; </w:t>
      </w:r>
    </w:p>
    <w:p w14:paraId="2D0FE5A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del Consiglio dei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ministri,  adottata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</w:t>
      </w:r>
    </w:p>
    <w:p w14:paraId="55E923A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riunione del 21 maggio 2020; </w:t>
      </w:r>
    </w:p>
    <w:p w14:paraId="6C0AD46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proposta del Ministro per gli affari europei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Ministro</w:t>
      </w:r>
    </w:p>
    <w:p w14:paraId="768264F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lavoro e delle politiche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sociali,  di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concerto  con  i  Ministri</w:t>
      </w:r>
    </w:p>
    <w:p w14:paraId="0368BFA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giustizia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degli   affari   esteri   e   della   cooperazione</w:t>
      </w:r>
    </w:p>
    <w:p w14:paraId="648C8A9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internazionale, dell'economia e delle finanze e della salute; </w:t>
      </w:r>
    </w:p>
    <w:p w14:paraId="7EAD6312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CBEADC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E m a n a </w:t>
      </w:r>
    </w:p>
    <w:p w14:paraId="1A1DE8C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il seguente decreto legislativo: </w:t>
      </w:r>
    </w:p>
    <w:p w14:paraId="08784F0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A7C512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1 </w:t>
      </w:r>
    </w:p>
    <w:p w14:paraId="5E4212F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7DD963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AD8C70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Modifiche all'art. 242 del decreto legislativo 9 aprile 2008, n. 81 </w:t>
      </w:r>
    </w:p>
    <w:p w14:paraId="6958F5F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4E1FB0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All'articolo 242 del decreto legislativo 9 aprile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2008,  n.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81,</w:t>
      </w:r>
    </w:p>
    <w:p w14:paraId="3C66EDC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comma 6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sostituito  dal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seguente:  «6.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medico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competente</w:t>
      </w:r>
    </w:p>
    <w:p w14:paraId="53BD407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fornisce  ai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lavoratori  adeguate  informazioni  sulla  sorveglianza</w:t>
      </w:r>
    </w:p>
    <w:p w14:paraId="1E5EE62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 cui sono sottoposti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e,  ove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  ricorrano  le  condizioni,</w:t>
      </w:r>
    </w:p>
    <w:p w14:paraId="39B0469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segnala la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 la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stessa  prosegua  anche  dopo  che 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3A91530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cessata l'esposizione, per il periodo di tempo che ritiene necessario</w:t>
      </w:r>
    </w:p>
    <w:p w14:paraId="742AAED2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la tutela della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del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lavoratore  interessato.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medico</w:t>
      </w:r>
      <w:proofErr w:type="gramEnd"/>
    </w:p>
    <w:p w14:paraId="24819D7C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 fornisce,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al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lavoratore  indicazioni  riguardo</w:t>
      </w:r>
    </w:p>
    <w:p w14:paraId="1B8366C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all'opportunita'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sottoporsi ad accertamenti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sanitari,  anche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dopo</w:t>
      </w:r>
    </w:p>
    <w:p w14:paraId="1B0BAEA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cessazione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lavorativa, sulla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dello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di</w:t>
      </w:r>
    </w:p>
    <w:p w14:paraId="2A36F60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 del   medesimo   e    dell'evoluzione    delle    conoscenze</w:t>
      </w:r>
    </w:p>
    <w:p w14:paraId="19897CC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scientifiche.». </w:t>
      </w:r>
    </w:p>
    <w:p w14:paraId="4A85B3E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06530F7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B860A3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0420D9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Modifiche agli allegati XLII e XLIII </w:t>
      </w:r>
    </w:p>
    <w:p w14:paraId="210F084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del decreto legislativo 9 aprile 2008, n. 81 </w:t>
      </w:r>
    </w:p>
    <w:p w14:paraId="58BD8A1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A68AA8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Gli allegati XLII e XLIII del decreto legislativo 9 aprile 2008,</w:t>
      </w:r>
    </w:p>
    <w:p w14:paraId="1C6363D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81, sono sostituiti dagli allegati I e II del presente decreto. </w:t>
      </w:r>
    </w:p>
    <w:p w14:paraId="2BF95A8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18122AA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BFB4B6C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289204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Clausola di invarianza finanziaria </w:t>
      </w:r>
    </w:p>
    <w:p w14:paraId="21A8774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6F386D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Dall'attuazione del presente decreto non devono derivare nuovi o</w:t>
      </w:r>
    </w:p>
    <w:p w14:paraId="5789204D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maggiori oneri a carico della finanza pubblica. </w:t>
      </w:r>
    </w:p>
    <w:p w14:paraId="42A9124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 Le   pubbliche    amministrazioni    interessate    provvedono</w:t>
      </w:r>
    </w:p>
    <w:p w14:paraId="6B2EDB4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all'attuazione delle disposizioni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presente  decreto  nei</w:t>
      </w:r>
    </w:p>
    <w:p w14:paraId="7F9EF01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delle risorse umane, strumentali e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finanziarie  disponibili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</w:t>
      </w:r>
    </w:p>
    <w:p w14:paraId="0F6D45F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legislazione vigente. </w:t>
      </w:r>
    </w:p>
    <w:p w14:paraId="6E21398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decreto, munito del sigillo dello Stato,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inserito</w:t>
      </w:r>
    </w:p>
    <w:p w14:paraId="0BA9612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ufficiale  degli  atti  normativi  della  Repubblica</w:t>
      </w:r>
    </w:p>
    <w:p w14:paraId="7C014FD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italiana.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fatto obbligo a chiunque spetti di osservarlo e di farlo</w:t>
      </w:r>
    </w:p>
    <w:p w14:paraId="595FCA4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osservare. </w:t>
      </w:r>
    </w:p>
    <w:p w14:paraId="4AE11A5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BBFC5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Dato a Roma, addi' 1° giugno 2020 </w:t>
      </w:r>
    </w:p>
    <w:p w14:paraId="1ECD01DB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9CCFD62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14:paraId="082175B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6AEA50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Conte, Presidente del Consiglio dei</w:t>
      </w:r>
    </w:p>
    <w:p w14:paraId="74FE07C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ministri </w:t>
      </w:r>
    </w:p>
    <w:p w14:paraId="507D88B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AF3382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Amendola, Ministro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gli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affari</w:t>
      </w:r>
    </w:p>
    <w:p w14:paraId="5FBF638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europei </w:t>
      </w:r>
    </w:p>
    <w:p w14:paraId="4C590C3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F36E80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</w:t>
      </w:r>
      <w:proofErr w:type="spellStart"/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Catalfo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Ministro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lavoro   e</w:t>
      </w:r>
    </w:p>
    <w:p w14:paraId="4870686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delle politiche sociali </w:t>
      </w:r>
    </w:p>
    <w:p w14:paraId="1B61132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629793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Bonafede, Ministro della giustizia </w:t>
      </w:r>
    </w:p>
    <w:p w14:paraId="301B307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E1EC27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</w:t>
      </w:r>
      <w:proofErr w:type="gram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Maio</w:t>
      </w:r>
      <w:proofErr w:type="gram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Ministro  degli   affari</w:t>
      </w:r>
    </w:p>
    <w:p w14:paraId="1D16E70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   esteri   e    della    cooperazione</w:t>
      </w:r>
    </w:p>
    <w:p w14:paraId="12AAFB2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internazionale </w:t>
      </w:r>
    </w:p>
    <w:p w14:paraId="4471AC55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7ED165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Gualtieri, Ministro dell'economia e</w:t>
      </w:r>
    </w:p>
    <w:p w14:paraId="3D7DE84F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delle finanze </w:t>
      </w:r>
    </w:p>
    <w:p w14:paraId="2245F21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06562ED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Speranza, Ministro della salute </w:t>
      </w:r>
    </w:p>
    <w:p w14:paraId="7C9100A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1D1F4E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14:paraId="4EAE439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 Allegato I </w:t>
      </w:r>
    </w:p>
    <w:p w14:paraId="0E63349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EE49A8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30936E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ALLEGATO XLII </w:t>
      </w:r>
    </w:p>
    <w:p w14:paraId="438C6AE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Elenco di Sostanze, Miscele e Processi </w:t>
      </w:r>
    </w:p>
    <w:p w14:paraId="7CECF24E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9189FDC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Elenco di sostanze, miscele e processi </w:t>
      </w:r>
    </w:p>
    <w:p w14:paraId="30B988C6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8C0E33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1. Produzione di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auramina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il metodo </w:t>
      </w:r>
      <w:proofErr w:type="spellStart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Michler</w:t>
      </w:r>
      <w:proofErr w:type="spellEnd"/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7AD9227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2. I lavori che espongono agli idrocarburi policiclici aromatici </w:t>
      </w:r>
    </w:p>
    <w:p w14:paraId="770C5AF7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presenti nella fuliggine, nel catrame o nella pece di carbone. </w:t>
      </w:r>
    </w:p>
    <w:p w14:paraId="300A9BDC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3. Lavori che espongono alle polveri, fumi e nebbie prodotti durante </w:t>
      </w:r>
    </w:p>
    <w:p w14:paraId="220A109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il raffinamento del nichel a temperature elevate. </w:t>
      </w:r>
    </w:p>
    <w:p w14:paraId="772AC67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4. Processo agli acidi forti nella fabbricazione di alcool </w:t>
      </w:r>
    </w:p>
    <w:p w14:paraId="3F0BE49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isopropilico. </w:t>
      </w:r>
    </w:p>
    <w:p w14:paraId="464D8BB0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5. Il lavoro comportante l'esposizione a polveri di legno duro. </w:t>
      </w:r>
    </w:p>
    <w:p w14:paraId="27F4AB1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6. Lavori comportanti esposizione a polvere di silice cristallina </w:t>
      </w:r>
    </w:p>
    <w:p w14:paraId="705373A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respirabile generata da un procedimento di lavorazione. </w:t>
      </w:r>
    </w:p>
    <w:p w14:paraId="4C87DA2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2C7FA89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          Allegato II </w:t>
      </w:r>
    </w:p>
    <w:p w14:paraId="1CE30561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52292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70107D3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Allegato XLIII </w:t>
      </w:r>
    </w:p>
    <w:p w14:paraId="4D95D08A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Valori limite di esposizione professionale </w:t>
      </w:r>
    </w:p>
    <w:p w14:paraId="076E2264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72A0B28" w14:textId="77777777" w:rsidR="00FE36A5" w:rsidRPr="00FE36A5" w:rsidRDefault="00FE36A5" w:rsidP="00FE3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E36A5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</w:t>
      </w:r>
      <w:r w:rsidRPr="00FE36A5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  <w:lang w:eastAsia="it-IT"/>
        </w:rPr>
        <w:t>Parte di provvedimento in formato grafico</w:t>
      </w:r>
    </w:p>
    <w:p w14:paraId="23EAA592" w14:textId="77777777" w:rsidR="004A2661" w:rsidRDefault="004A2661" w:rsidP="00FE36A5">
      <w:pPr>
        <w:spacing w:after="0" w:line="240" w:lineRule="auto"/>
      </w:pPr>
    </w:p>
    <w:sectPr w:rsidR="004A2661" w:rsidSect="00FE36A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A5"/>
    <w:rsid w:val="004A2661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126CE"/>
  <w15:chartTrackingRefBased/>
  <w15:docId w15:val="{A0817715-D564-4BF7-BE37-C1B415B5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1</cp:revision>
  <dcterms:created xsi:type="dcterms:W3CDTF">2020-06-12T06:39:00Z</dcterms:created>
  <dcterms:modified xsi:type="dcterms:W3CDTF">2020-06-12T06:40:00Z</dcterms:modified>
</cp:coreProperties>
</file>